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5 do Regulaminu szkoleń w ramach wsparcia dla istniejących PES z wyłączeniem przedsiębiorstw społecznych - </w:t>
        <w:br w:type="textWrapping"/>
        <w:t xml:space="preserve">wersja 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 z dnia 01.0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88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UMOWA NR FGAP/…………../MOWES2_KOM/……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O UDZIELENIE WSPARCIA SZKOLENIOWO - DORADCZEGO</w:t>
      </w:r>
    </w:p>
    <w:p w:rsidR="00000000" w:rsidDel="00000000" w:rsidP="00000000" w:rsidRDefault="00000000" w:rsidRPr="00000000" w14:paraId="00000004">
      <w:pPr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Umowa o udzielenie wsparcia szkoleniowo-doradczego w ramach Projektu „MOWES2 – Małopolski Ośrodek Wsparcia Ekonomii Społecznej – Krakowski Obszar Metropolitalny” nr </w:t>
      </w:r>
      <w:r w:rsidDel="00000000" w:rsidR="00000000" w:rsidRPr="00000000">
        <w:rPr>
          <w:color w:val="000000"/>
          <w:rtl w:val="0"/>
        </w:rPr>
        <w:t xml:space="preserve">RPMP.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09.03.00-12-0001/19 </w:t>
      </w:r>
      <w:r w:rsidDel="00000000" w:rsidR="00000000" w:rsidRPr="00000000">
        <w:rPr>
          <w:i w:val="1"/>
          <w:rtl w:val="0"/>
        </w:rPr>
        <w:t xml:space="preserve"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z Europejskiego Funduszu Społecznego.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zawarta w ……………………………….. w dniu …………………….. r. 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pomiędzy: 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Fundacją Gospodarki i Administracji Publicznej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 siedzibą w Krakowie przy ul. ks. I. J. Skorupki 22, 31-519 Kraków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KRS: 0000232184, NIP: 676-22-93-050, REGON: 120037591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reprezentowaną przez: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…………………………. – …………………………………….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…………………………. – ……………………………………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zwaną dalej Realizatorem wsparcia,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adres: ………………………………………..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KRS: ………………………, NIP…………………….., REGON: ……………………..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reprezentowaną przez:</w:t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zwaną dalej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Uczestnikiem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Przedmiot umowy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Przedmiotem niniejszej Umowy jest udzielenie Uczestnikowi projektu przez Realizatora wsparcia, wsparcia w formie nieodpłatnych usług szkoleniowo-doradczych w formie szkolenia dotyczącego ………………….., zwanego dalej jako usługi szkoleniowo-doradcze.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Uczestnik projektu otrzymuje wsparcie szkoleniowo-doradcze na zasadach i warunkach określonych w niniejszej Umowie. 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Okres udzielania wsparcia szkoleniowo-doradczego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Wsparcie szkoleniowo-doradcze udzielane jest w dniu ……………………………. r.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Liczba godzin wsparcia szkoleniowo-doradczego wynosi ……………………godzin.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 dniu zawarcia niniejszej umowy Realizator wsparcia udziela Uczestnikowi projektu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 </w:t>
        <w:br w:type="textWrapping"/>
        <w:t xml:space="preserve">o wartości brutto …………………………….. zł.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Wsparcie szkoleniowo-doradcze stanowi pomoc publiczną udzielaną w formie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, zgodnie </w:t>
        <w:br w:type="textWrapping"/>
        <w:t xml:space="preserve">z Rozporządzeniem Ministra Infrastruktury i Rozwoju z dnia 02 lipca 2015r. w sprawie udzielania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 oraz pomocy publicznej w ramach programów operacyjnych finansowanych z Europejskiego Funduszu Społecznego na lata 2014-2020 (Dz. U. z 2015 poz. 1073).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Udzielenie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 potwierdzone zostanie „Zaświadczeniem o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Wsparcie szkoleniowo-doradcze – postanowienia szczegółowe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Zakres wsparcia szkoleniowo-doradczego ustalany jest przez Realizatora wsparcia na podstawie diagnozy potrzeb szkoleniowo-doradczych Uczestnika projektu oraz innych kryteriów stosowanych przez Realizatora wsparcia w ramach realizowanego wsparcia.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Liczba godzin usług szkoleniowych lub doradczych o których mowa w § 2 ust. 2 świadczona na rzecz Uczestnika projektu potwierdzana jest podpisem Uczestnika projektu, złożonym na odpowiednim formularzu w dniu korzystania z usługi.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Zmiana umowy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Wszelkie zmiany Umowy, wymagają aneksu w formie pisemnej, pod rygorem nieważności.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Zasada, o której mowa w ust. 2 nie dotyczy sytuacji, gdy niezachowanie terminu, o którym mowa w ust. 2 nastąpi z przyczyn niezależnych od Uczestnika projektu lub zostało zaakceptowane przez Realizatora wsparcia.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284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Rozwiązanie umowy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Uczestnik projektu może rozwiązać umowę w każdym momencie, co jest jednoznaczne</w:t>
        <w:br w:type="textWrapping"/>
        <w:t xml:space="preserve"> z zaprzestaniem uczestniczenia w Projekcie.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Realizatora wsparcia może wypowiedzieć Umowę ze skutkiem natychmiastowym, oznaczającym wykluczenie Uczestnika z udziału w  projekcie, w przypadkach kiedy: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line="240" w:lineRule="auto"/>
        <w:ind w:left="567" w:hanging="283"/>
        <w:jc w:val="both"/>
        <w:rPr/>
      </w:pPr>
      <w:r w:rsidDel="00000000" w:rsidR="00000000" w:rsidRPr="00000000">
        <w:rPr>
          <w:rtl w:val="0"/>
        </w:rPr>
        <w:t xml:space="preserve">opuści więcej niż 25 % godzin szkoleniowych określonych w  § 2;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line="240" w:lineRule="auto"/>
        <w:ind w:left="567" w:hanging="283"/>
        <w:jc w:val="both"/>
        <w:rPr/>
      </w:pPr>
      <w:r w:rsidDel="00000000" w:rsidR="00000000" w:rsidRPr="00000000">
        <w:rPr>
          <w:rtl w:val="0"/>
        </w:rPr>
        <w:t xml:space="preserve">nie wypełni, bez usprawiedliwienia, jednego ze swych zobowiązań i po otrzymaniu pisemnego upomnienia nadal ich nie wypełnienia lub nie przedstawi w okresie 15 dni stosownych wyjaśnień;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line="240" w:lineRule="auto"/>
        <w:ind w:left="567" w:hanging="283"/>
        <w:jc w:val="both"/>
        <w:rPr/>
      </w:pPr>
      <w:r w:rsidDel="00000000" w:rsidR="00000000" w:rsidRPr="00000000">
        <w:rPr>
          <w:rtl w:val="0"/>
        </w:rPr>
        <w:t xml:space="preserve">przedstawi fałszywe lub niepełne oświadczenia w celu uzyskania wsparcia szkoleniowo-doradczego.</w: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Spory związane z realizacją niniejszej umowy strony będą starały się rozwiązać polubownie.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 przypadku braku porozumienia spór będzie podlegał rozstrzygnięciu przez sąd powszechny właściwy dla siedziby Realizatora wsparcia.</w:t>
      </w:r>
    </w:p>
    <w:p w:rsidR="00000000" w:rsidDel="00000000" w:rsidP="00000000" w:rsidRDefault="00000000" w:rsidRPr="00000000" w14:paraId="0000003D">
      <w:pPr>
        <w:tabs>
          <w:tab w:val="left" w:pos="426"/>
        </w:tabs>
        <w:spacing w:after="0"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Wszelkie wątpliwości związane z realizacją niniejszej umowy wyjaśniane będą w formie pisemnej.</w:t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8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Umowa została sporządzona w dwóch jednobrzmiących egzemplarzach, po jednym dla każdej ze stron.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</w:t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46">
      <w:pPr>
        <w:spacing w:after="0"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Realizator wsparcia</w:t>
        <w:tab/>
        <w:tab/>
        <w:tab/>
        <w:tab/>
        <w:tab/>
        <w:t xml:space="preserve">Uczestnik projektu</w:t>
        <w:tab/>
        <w:tab/>
      </w:r>
    </w:p>
    <w:p w:rsidR="00000000" w:rsidDel="00000000" w:rsidP="00000000" w:rsidRDefault="00000000" w:rsidRPr="00000000" w14:paraId="00000047">
      <w:pPr>
        <w:spacing w:after="0" w:line="36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Załącznik: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Formularz osób delegowanych do projektu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93" w:top="1390" w:left="1134" w:right="1134" w:header="0" w:footer="9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-190499</wp:posOffset>
              </wp:positionV>
              <wp:extent cx="6296025" cy="571500"/>
              <wp:effectExtent b="0" l="0" r="0" t="0"/>
              <wp:wrapNone/>
              <wp:docPr id="2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7988" y="3494250"/>
                        <a:ext cx="6296025" cy="571500"/>
                        <a:chOff x="2197988" y="3494250"/>
                        <a:chExt cx="6296025" cy="571500"/>
                      </a:xfrm>
                    </wpg:grpSpPr>
                    <wpg:grpSp>
                      <wpg:cNvGrpSpPr/>
                      <wpg:grpSpPr>
                        <a:xfrm>
                          <a:off x="2197988" y="3494250"/>
                          <a:ext cx="6296025" cy="571500"/>
                          <a:chOff x="0" y="0"/>
                          <a:chExt cx="6296025" cy="571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kolorowe logo_opoka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705475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MISTiA_stopka_logo_Krakow.jp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19550" y="38100"/>
                            <a:ext cx="1381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GAP_logotyp.jpg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457450" y="9525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podstawowe CMYK.PNG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9525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ARMZ logo_chrzanow - kolor.jpg"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9525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-190499</wp:posOffset>
              </wp:positionV>
              <wp:extent cx="6296025" cy="571500"/>
              <wp:effectExtent b="0" l="0" r="0" t="0"/>
              <wp:wrapNone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114300</wp:posOffset>
              </wp:positionV>
              <wp:extent cx="6734175" cy="809625"/>
              <wp:effectExtent b="0" l="0" r="0" t="0"/>
              <wp:wrapNone/>
              <wp:docPr id="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12" name="Shape 12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114300</wp:posOffset>
              </wp:positionV>
              <wp:extent cx="6734175" cy="809625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0542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05429"/>
    <w:rPr>
      <w:rFonts w:eastAsiaTheme="minorEastAsia"/>
      <w:sz w:val="20"/>
      <w:szCs w:val="20"/>
      <w:lang w:eastAsia="pl-PL"/>
    </w:rPr>
  </w:style>
  <w:style w:type="paragraph" w:styleId="Default" w:customStyle="1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489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489A"/>
    <w:rPr>
      <w:rFonts w:eastAsiaTheme="minorEastAsia"/>
      <w:b w:val="1"/>
      <w:bCs w:val="1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3.jpg"/><Relationship Id="rId3" Type="http://schemas.openxmlformats.org/officeDocument/2006/relationships/image" Target="media/image4.jpg"/><Relationship Id="rId4" Type="http://schemas.openxmlformats.org/officeDocument/2006/relationships/image" Target="media/image7.png"/><Relationship Id="rId5" Type="http://schemas.openxmlformats.org/officeDocument/2006/relationships/image" Target="media/image5.png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9.png"/><Relationship Id="rId3" Type="http://schemas.openxmlformats.org/officeDocument/2006/relationships/image" Target="media/image8.jpg"/><Relationship Id="rId4" Type="http://schemas.openxmlformats.org/officeDocument/2006/relationships/image" Target="media/image10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5mae5tExEi5UHi4lce8KJqb/Q==">AMUW2mXBjgttX3EaJjrQ3Be3yMtm1ce6wCdWl5J501wJjeijRg7p2sCgTu7ksOdRno8DoQVHsderjMIAXptfmnyidD4zrJOBhezdikLz5uXTaDIQ9GeRTSlVlKxmArELorASOKc1tFJS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2020-02-25T12:47:00Z</dcterms:created>
  <dc:creator>Kasia</dc:creator>
</cp:coreProperties>
</file>